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A4" w:rsidRDefault="007A02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A02A4">
        <w:rPr>
          <w:rFonts w:ascii="Times New Roman" w:hAnsi="Times New Roman" w:cs="Times New Roman"/>
          <w:sz w:val="32"/>
          <w:szCs w:val="32"/>
        </w:rPr>
        <w:br/>
      </w:r>
      <w:r w:rsidRPr="007A02A4">
        <w:rPr>
          <w:rFonts w:ascii="Times New Roman" w:hAnsi="Times New Roman" w:cs="Times New Roman"/>
          <w:sz w:val="32"/>
          <w:szCs w:val="32"/>
        </w:rPr>
        <w:br/>
        <w:t xml:space="preserve">05. 05. 2020р.,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вівторок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, 231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Загальна та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спец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іальна патологія).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«Контрольна робота  за результатами вивченого матеріалу»</w:t>
      </w:r>
    </w:p>
    <w:p w:rsidR="007A02A4" w:rsidRDefault="007A02A4" w:rsidP="007A02A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A02A4" w:rsidRDefault="007A02A4" w:rsidP="007A02A4">
      <w:pPr>
        <w:tabs>
          <w:tab w:val="left" w:pos="321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>Контрольні 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Кислотно-лужна рівновага (загальна характеристика).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Показники кислотно-лужної рівноваги.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Механізми усунення зрушень кислотно-лужної рівноваги.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Типові форми порушень кислотно-лужної рівноваги.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Причини розладів кислотно-лужної рівноваги.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Компенсовані та некомпенсовані зрушення кислотно-лужної рівноваги (характеристика показників).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Газові, негазові, змішані (комбіновані) порушення кислотно-лужної рівноваги (визначення та характеристика).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8. Метаболічні розлади кислотно-лужної рівноваги (визначення та характеристика).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9. Видільні розлади кислотно-лужної рівноваги (визначення та коротка характеристика).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10. Екзогенні розлади кислотно-лужної рівноваги (визначення та коротка характеристика).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11. Типові порушення теплового балансу організму, класифікація.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12.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Гіпертермічні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стани та їхні види (гіпертермія – визначення, причини, умови виникнення, механізми розвитку).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13. Інтенсивність та ступінь декомпенсації механізмів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теплорегульовання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14. Тепловий удар – визначення, причини, фактори, які призводять до летальних випадків при тепловому ударі.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15. Сонячний удар – причина  та патогенез сонячного удару.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16. Лихоманка – визначення, причини, патогенез, умови виникнення.</w:t>
      </w:r>
    </w:p>
    <w:p w:rsidR="007A02A4" w:rsidRDefault="007A02A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 w:type="page"/>
      </w:r>
    </w:p>
    <w:p w:rsidR="007A02A4" w:rsidRDefault="007A02A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 w:type="page"/>
      </w:r>
    </w:p>
    <w:p w:rsidR="00B34DD3" w:rsidRPr="0058037E" w:rsidRDefault="007A02A4" w:rsidP="0058037E">
      <w:pPr>
        <w:tabs>
          <w:tab w:val="left" w:pos="321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  <w:t>17. Стадії лихоманки та їх значення.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18. Основні адаптаційні ефекти лихоманки.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19. Визначення поняття «гіпотермія» її різновиди; причини гіпотермії; умови, що сприяють виникненню гіпотермії.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20. Механізми гіпотермії та її стадії.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21. Медична гіпотермія, її визначення та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22. Види кровообігу та їхня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23. Лімфатична система та лімфо обіг,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24.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Взаємоз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вязок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між компонентами системи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кровобігу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26. Венозне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повнокров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A02A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винкають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органах при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02A4">
        <w:rPr>
          <w:rFonts w:ascii="Times New Roman" w:hAnsi="Times New Roman" w:cs="Times New Roman"/>
          <w:sz w:val="32"/>
          <w:szCs w:val="32"/>
        </w:rPr>
        <w:t>повнокров’і</w:t>
      </w:r>
      <w:proofErr w:type="spellEnd"/>
      <w:r w:rsidRPr="007A02A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27. Загальна характеристика запалення.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28. Патофізіологія й морфологія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запалання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29. Форми гострого запалення.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30. Механізми ко</w:t>
      </w:r>
      <w:r w:rsidR="0058037E">
        <w:rPr>
          <w:rFonts w:ascii="Times New Roman" w:hAnsi="Times New Roman" w:cs="Times New Roman"/>
          <w:sz w:val="32"/>
          <w:szCs w:val="32"/>
          <w:lang w:val="uk-UA"/>
        </w:rPr>
        <w:t xml:space="preserve">мпенсації функцій при хворобах.    </w:t>
      </w:r>
      <w:r w:rsidR="0058037E">
        <w:rPr>
          <w:rFonts w:ascii="Times New Roman" w:hAnsi="Times New Roman" w:cs="Times New Roman"/>
          <w:sz w:val="32"/>
          <w:szCs w:val="32"/>
          <w:lang w:val="uk-UA"/>
        </w:rPr>
        <w:br/>
      </w:r>
      <w:r w:rsidR="0058037E">
        <w:rPr>
          <w:rFonts w:ascii="Times New Roman" w:hAnsi="Times New Roman" w:cs="Times New Roman"/>
          <w:sz w:val="32"/>
          <w:szCs w:val="32"/>
          <w:lang w:val="uk-UA"/>
        </w:rPr>
        <w:br/>
      </w:r>
      <w:r w:rsidR="0058037E">
        <w:rPr>
          <w:rFonts w:ascii="Times New Roman" w:hAnsi="Times New Roman" w:cs="Times New Roman"/>
          <w:sz w:val="32"/>
          <w:szCs w:val="32"/>
          <w:lang w:val="uk-UA"/>
        </w:rPr>
        <w:br/>
      </w:r>
      <w:r w:rsidR="0058037E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Доцент               </w:t>
      </w:r>
      <w:proofErr w:type="spellStart"/>
      <w:r w:rsidR="0058037E"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 w:rsidR="0058037E"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</w:p>
    <w:sectPr w:rsidR="00B34DD3" w:rsidRPr="0058037E" w:rsidSect="00B3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02A4"/>
    <w:rsid w:val="0058037E"/>
    <w:rsid w:val="005C3411"/>
    <w:rsid w:val="007A02A4"/>
    <w:rsid w:val="00B3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31451-267F-4519-A6A6-EE7A32B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2020-05-05T13:55:00Z</dcterms:created>
  <dcterms:modified xsi:type="dcterms:W3CDTF">2020-05-06T15:33:00Z</dcterms:modified>
</cp:coreProperties>
</file>